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10287000</wp:posOffset>
            </wp:positionV>
            <wp:extent cx="317500" cy="2667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2359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单元易错强化练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04" name="17标2.EPS" descr="id:2147496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560017" name="17标2.EPS" descr="id:21474962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不会判断杠杆的平衡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端挂实心铁块,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端挂实心铜块(  已知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铁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铜</w:t>
      </w:r>
      <w:r>
        <w:rPr>
          <w:rFonts w:ascii="Times New Roman" w:eastAsia="宋体" w:hAnsi="宋体"/>
        </w:rPr>
        <w:t xml:space="preserve">  ),两金属块均浸没在水中,等臂杠杆平衡。若将两杯水撤去,则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77010" cy="809625"/>
            <wp:effectExtent l="0" t="0" r="8890" b="9525"/>
            <wp:docPr id="705" name="17ZKXWL79.EPS" descr="id:2147496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343609" name="17ZKXWL79.EPS" descr="id:21474962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744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端向下,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端向上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杠杆仍平衡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端向上,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端向下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杠杆不平衡,但无法判断倾向哪边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《墨经》最早记述了秤的杠杆原理,如图中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标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表示力臂,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权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表示力,以下说法符合杠杆平衡原理的是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635" cy="884555"/>
            <wp:effectExtent l="0" t="0" r="18415" b="10795"/>
            <wp:docPr id="706" name="18ZFWJ316.EPS" descr="id:2147496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503435" name="18ZFWJ316.EPS" descr="id:21474962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端一定上扬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一定小于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本</w:t>
      </w:r>
      <w:r>
        <w:rPr>
          <w:rFonts w:ascii="Times New Roman" w:eastAsia="宋体" w:hAnsi="Times New Roman" w:cs="Times New Roman"/>
        </w:rPr>
        <w:t>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时,应把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时,应更换更小的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权</w:t>
      </w:r>
      <w:r>
        <w:rPr>
          <w:rFonts w:ascii="Times New Roman" w:eastAsia="宋体" w:hAnsi="Times New Roman" w:cs="Times New Roman"/>
        </w:rPr>
        <w:t>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07" name="17标2.EPS" descr="id:2147496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730125" name="17标2.EPS" descr="id:21474962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不能正确理解滑轮的特殊使用方法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=200 N</w:t>
      </w:r>
      <w:r>
        <w:rPr>
          <w:rFonts w:ascii="Times New Roman" w:eastAsia="宋体" w:hAnsi="宋体"/>
        </w:rPr>
        <w:t>,滑轮重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'=40 N</w:t>
      </w:r>
      <w:r>
        <w:rPr>
          <w:rFonts w:ascii="Times New Roman" w:eastAsia="宋体" w:hAnsi="宋体"/>
        </w:rPr>
        <w:t>,要使物体能匀速上升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(  不计滑轮的摩擦  ),则下列说法正确的是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54355" cy="710565"/>
            <wp:effectExtent l="0" t="0" r="17145" b="13335"/>
            <wp:docPr id="708" name="19ZKXWJ592.EPS" descr="id:2147496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3237" name="19ZKXWJ592.EPS" descr="id:21474962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=440 N</w:t>
      </w:r>
      <w:r>
        <w:rPr>
          <w:rFonts w:ascii="Times New Roman" w:eastAsia="宋体" w:hAnsi="宋体"/>
        </w:rPr>
        <w:t>,并向上移动</w:t>
      </w:r>
      <w:r>
        <w:rPr>
          <w:rFonts w:ascii="Times New Roman" w:eastAsia="宋体" w:hAnsi="Times New Roman"/>
        </w:rPr>
        <w:t>4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=140 N</w:t>
      </w:r>
      <w:r>
        <w:rPr>
          <w:rFonts w:ascii="Times New Roman" w:eastAsia="宋体" w:hAnsi="宋体"/>
        </w:rPr>
        <w:t>,并向上移动</w:t>
      </w:r>
      <w:r>
        <w:rPr>
          <w:rFonts w:ascii="Times New Roman" w:eastAsia="宋体" w:hAnsi="Times New Roman"/>
        </w:rPr>
        <w:t>4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=440 N</w:t>
      </w:r>
      <w:r>
        <w:rPr>
          <w:rFonts w:ascii="Times New Roman" w:eastAsia="宋体" w:hAnsi="宋体"/>
        </w:rPr>
        <w:t>,并向上移动</w:t>
      </w:r>
      <w:r>
        <w:rPr>
          <w:rFonts w:ascii="Times New Roman" w:eastAsia="宋体" w:hAnsi="Times New Roman"/>
        </w:rPr>
        <w:t>1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=480 N</w:t>
      </w:r>
      <w:r>
        <w:rPr>
          <w:rFonts w:ascii="Times New Roman" w:eastAsia="宋体" w:hAnsi="宋体"/>
        </w:rPr>
        <w:t>,并向上移动</w:t>
      </w:r>
      <w:r>
        <w:rPr>
          <w:rFonts w:ascii="Times New Roman" w:eastAsia="宋体" w:hAnsi="Times New Roman"/>
        </w:rPr>
        <w:t>1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09" name="17标2.EPS" descr="id:2147496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205731" name="17标2.EPS" descr="id:21474962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不能正确区分功、功率、机械效率的概念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机械效率大的功率一定大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机械做功时,做的有用功越多,机械效率越大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机械做功时,工作时间越短,功率一定越大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利用机械做功可以省力或省距离,但不能省功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10" name="17标2.EPS" descr="id:2147496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151923" name="17标2.EPS" descr="id:21474962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不能正确比较机械效率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如图所示,用相同的滑轮组成的滑轮组提起相同的重物,摩擦和绳重忽略不计,在物体匀速上升的过程中,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&lt;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&lt;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&gt;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71880" cy="1202690"/>
            <wp:effectExtent l="0" t="0" r="13970" b="16510"/>
            <wp:docPr id="711" name="19ZKXWJ593.EPS" descr="id:2147496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55704" name="19ZKXWJ593.EPS" descr="id:21474962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2080" cy="120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分别使用定滑轮、动滑轮、两个定滑轮和两个动滑轮组成的滑轮组,匀速提升同一物体到同一高度处,其机械效率分别为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定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组</w:t>
      </w:r>
      <w:r>
        <w:rPr>
          <w:rFonts w:ascii="Times New Roman" w:eastAsia="宋体" w:hAnsi="宋体"/>
        </w:rPr>
        <w:t>(  不计绳重和摩擦,设每个滑轮质量相等  ),则下列选项中正确的是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组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定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定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定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组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定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组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712" name="17标2.EPS" descr="id:2147496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024457" name="17标2.EPS" descr="id:21474962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易错点</w:t>
      </w:r>
      <w:r>
        <w:rPr>
          <w:rFonts w:ascii="Times New Roman" w:eastAsia="宋体" w:hAnsi="宋体"/>
          <w:color w:val="FF00FF"/>
        </w:rPr>
        <w:t>5　</w:t>
      </w:r>
      <w:r>
        <w:rPr>
          <w:rFonts w:ascii="Arial" w:eastAsia="黑体" w:hAnsi="黑体"/>
          <w:color w:val="FF00FF"/>
        </w:rPr>
        <w:t>不能正确判断机械效率的变化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小金用如图所示的实验装置测量杠杆的机械效率。实验时竖直向上拉动杠杆,使挂在杠杆下面的钩码缓缓上升(  支点和杠杆的摩擦不计  )。重为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的钩码挂在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点时,人的拉力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4 N</w:t>
      </w:r>
      <w:r>
        <w:rPr>
          <w:rFonts w:ascii="Times New Roman" w:eastAsia="宋体" w:hAnsi="宋体"/>
        </w:rPr>
        <w:t>,钩码上升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m</w:t>
      </w:r>
      <w:r>
        <w:rPr>
          <w:rFonts w:ascii="Times New Roman" w:eastAsia="宋体" w:hAnsi="宋体"/>
        </w:rPr>
        <w:t>时,动力作用点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上升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</w:t>
      </w:r>
      <w:r>
        <w:rPr>
          <w:rFonts w:ascii="Times New Roman" w:eastAsia="宋体" w:hAnsi="宋体"/>
        </w:rPr>
        <w:t>,此时机械效率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75%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。小金为了进一步研究杠杆的机械效率与哪些因素有关,仍用该实验装置,将钩码移到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点,再次缓慢提升杠杆使动力作用点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仍然上升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</w:t>
      </w:r>
      <w:r>
        <w:rPr>
          <w:rFonts w:ascii="Times New Roman" w:eastAsia="宋体" w:hAnsi="宋体"/>
        </w:rPr>
        <w:t>。则人的拉力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与第一次相比</w:t>
      </w:r>
      <w:r>
        <w:rPr>
          <w:rFonts w:ascii="Times New Roman" w:eastAsia="宋体" w:hAnsi="宋体"/>
          <w:color w:val="FF00FF"/>
          <w:u w:val="single" w:color="000000"/>
        </w:rPr>
        <w:t>　变小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42060" cy="1124585"/>
            <wp:effectExtent l="0" t="0" r="15240" b="18415"/>
            <wp:docPr id="713" name="18ZKXWJ223.EPS" descr="id:2147496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252705" name="18ZKXWJ223.EPS" descr="id:21474962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2360" cy="11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884D2C"/>
    <w:rsid w:val="6E884D2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2019-12-26T01:49:41Z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